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C9" w:rsidRDefault="004D49C9" w:rsidP="004D49C9"/>
    <w:tbl>
      <w:tblPr>
        <w:tblW w:w="1020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4D49C9" w:rsidRPr="000268D2" w:rsidTr="004E1B3C">
        <w:tc>
          <w:tcPr>
            <w:tcW w:w="4962" w:type="dxa"/>
            <w:shd w:val="clear" w:color="auto" w:fill="auto"/>
          </w:tcPr>
          <w:p w:rsidR="004D49C9" w:rsidRPr="000268D2" w:rsidRDefault="004D49C9" w:rsidP="004E1B3C">
            <w:pPr>
              <w:tabs>
                <w:tab w:val="left" w:pos="1484"/>
                <w:tab w:val="center" w:pos="241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СОШ №10 г. Сальска</w:t>
            </w:r>
          </w:p>
          <w:p w:rsidR="004D49C9" w:rsidRPr="000268D2" w:rsidRDefault="004D49C9" w:rsidP="004E1B3C">
            <w:pPr>
              <w:tabs>
                <w:tab w:val="center" w:pos="22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1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gramStart"/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августа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proofErr w:type="gramEnd"/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245" w:type="dxa"/>
            <w:shd w:val="clear" w:color="auto" w:fill="auto"/>
          </w:tcPr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приказом 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176</w:t>
            </w: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от</w:t>
            </w:r>
            <w:proofErr w:type="gramEnd"/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СОШ № 10 г. Сальска</w:t>
            </w:r>
          </w:p>
          <w:p w:rsidR="004D49C9" w:rsidRPr="000268D2" w:rsidRDefault="004D49C9" w:rsidP="004E1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М.А. Романенко</w:t>
            </w:r>
            <w:r w:rsidRPr="000268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Pr="000268D2" w:rsidRDefault="004D49C9" w:rsidP="004D49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ПОЛОЖЕНИЕ</w:t>
      </w:r>
    </w:p>
    <w:p w:rsidR="004D49C9" w:rsidRPr="000268D2" w:rsidRDefault="004D49C9" w:rsidP="004D49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 организации внеурочной деятельности в классах реализующих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ФГОС  НОО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ООО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СОО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муниципального бюджетного общеобразовательного учреждения</w:t>
      </w:r>
    </w:p>
    <w:p w:rsidR="004D49C9" w:rsidRPr="000268D2" w:rsidRDefault="004D49C9" w:rsidP="004D49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средней общеобразовательной школой № 10 г. Сальска</w:t>
      </w:r>
      <w:bookmarkEnd w:id="0"/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Pr="000268D2" w:rsidRDefault="004D49C9" w:rsidP="004D49C9">
      <w:pPr>
        <w:numPr>
          <w:ilvl w:val="0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D49C9" w:rsidRPr="0030434A" w:rsidRDefault="004D49C9" w:rsidP="004D49C9">
      <w:pPr>
        <w:pStyle w:val="1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eastAsia="Calibri"/>
          <w:b w:val="0"/>
          <w:bCs w:val="0"/>
          <w:kern w:val="0"/>
          <w:sz w:val="24"/>
          <w:szCs w:val="24"/>
          <w:lang w:eastAsia="ar-SA"/>
        </w:rPr>
      </w:pP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Настоящее Положение разработано в соответствии с п. 3 статьи 28 Федерального Закона «Об образовании в Российской Федерации» (от 29.12. 2012 № 273-ФЗ); Федеральным законом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областным  законом от 14.11.2013 № 26-ЗС «Об образовании в Ростовской области», Концепцией духовно-нравственного воспитания российских школьников; постановлением 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1),  постановлением Главного государственного санитарного врача РФ от 29.06.2011 № 85, ( в ред. изменений № 2, утв. Постановлением Главного государственного санитарного врача РФ от 25.12.2013 № 72), 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03.06.2008 № 164,от 31.08.2009 № 320, от 19.10.2009 № 427, от 10.11.2011 № 2643, от 24.01.2012 № 39); приказом 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26.11.2010 № 1241, от 22.09.2011 № 2357, от 18.12.2012 № 1060, от 29.12.2014 № 1643); приказом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 (в ред. приказа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29.12.2014 № 1643); приказом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29.12.2014 № 1644); приказом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письмом Департамента общего образования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письмом </w:t>
      </w:r>
      <w:proofErr w:type="spellStart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Минобрнауки</w:t>
      </w:r>
      <w:proofErr w:type="spellEnd"/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России от 07.08.2015 г. № 08-1228 «О направлении методических рекомендаций по вопросам введения федерального 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lastRenderedPageBreak/>
        <w:t xml:space="preserve">государственного образовательного стандарта основного общего образования; примерной основной образовательной программой начального общего образования (одобрена федеральным учебно-методическим объединением по общему образованию, протокол заседания от 08.04.2015 г. № 1/15 (далее – ПООП НОО); примерной основной образовательной программой основного общего образования (одобрена федеральным учебно-методическим объединением по общему образованию, протокол заседания от 08.04.2015 г. № 1/15 (далее – ПООП ООО); 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п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римерн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ой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основн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ой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образовательн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ой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программ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ой среднего общего образования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(одобрена решением федерального учебно-методического объединения по общему образованию, протокол от 28.06.2016 N 2/16-з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 xml:space="preserve"> (далее – ПООП СОО</w:t>
      </w:r>
      <w:r w:rsidRPr="0030434A">
        <w:rPr>
          <w:rFonts w:eastAsia="Calibri"/>
          <w:b w:val="0"/>
          <w:bCs w:val="0"/>
          <w:kern w:val="0"/>
          <w:sz w:val="24"/>
          <w:szCs w:val="24"/>
          <w:lang w:eastAsia="ar-SA"/>
        </w:rPr>
        <w:t>)</w:t>
      </w:r>
      <w:r>
        <w:rPr>
          <w:rFonts w:eastAsia="Calibri"/>
          <w:b w:val="0"/>
          <w:bCs w:val="0"/>
          <w:kern w:val="0"/>
          <w:sz w:val="24"/>
          <w:szCs w:val="24"/>
          <w:lang w:eastAsia="ar-SA"/>
        </w:rPr>
        <w:t>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Данное положение регламентирует порядок нормирования и учета, организации внеурочной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 обучающихся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, а также определяет ее формы и виды и разработано с целью повышения эффективности использования средств, направляемых на реализацию основных образовательных программ начального общего и основного общего образования,  улучшения качества предоставления образовательных и воспитательных услуг в  муниципальном бюджетном общеобразовательном учреждении МБОУ СОШ №10 г. Сальска (далее школа).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Внеурочная деятельность обучающихся – специально организованная деятельность обучающихся в кла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ссах, реализующих ФГОС НОО, ООО, СОО</w:t>
      </w: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представляющая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собой  неотъемлемую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часть образовательного процесса, отличная от урочной системы обучения.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Внеурочная деятельность – часть учебного плана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ФГОС НОО, ООО, СОО</w:t>
      </w: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В соответствии с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ФГОС  время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объема финансирования, направляемых на реализацию ООП.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Школа</w:t>
      </w: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самостоятельно</w:t>
      </w:r>
      <w:proofErr w:type="gramEnd"/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разрабатывает и утверждает план внеурочной деятельности. План внеурочной деятельности </w:t>
      </w: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МБОУ СОШ №10 г. Сальска </w:t>
      </w: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определяет состав и структуру направлений, формы организации, объем внеурочной деятельности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ФГОС НОО, ООО, СОО</w:t>
      </w: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Общие подходы к организации внеурочной деятельности прописываются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left="709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внеурочной деятельности обучающихся школы могут использоваться возможности учреждений дополнительного образования, культуры, спорта на основе заключения договоров о сотрудничестве.</w:t>
      </w:r>
    </w:p>
    <w:p w:rsidR="004D49C9" w:rsidRPr="000268D2" w:rsidRDefault="004D49C9" w:rsidP="004D49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 и задачи внеурочной деятельности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оптимальной социально-педагогической воспитывающей среды, направленной на творческое саморазвитие и самореализацию личности</w:t>
      </w: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гражданско-патриотического воспитания обучающихся.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культурно-массовых, спортивных, физкультурно-оздоровительных, научных мероприятий.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социально-психологической поддержки участников образовательного процесса.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Организация работы по пропаганде здорового образа жизни, профилактике </w:t>
      </w:r>
      <w:proofErr w:type="spell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девиантного</w:t>
      </w:r>
      <w:proofErr w:type="spell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поведения в молодежной среде.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работы по адаптации обучающихся при переходе на новую ступень обучения</w:t>
      </w: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Содействие в обеспечении достижения ожидаемых результатов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  в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соответствии с основой образовательной программой начального общего и  основного общего образования. </w:t>
      </w:r>
    </w:p>
    <w:p w:rsidR="004D49C9" w:rsidRPr="000268D2" w:rsidRDefault="004D49C9" w:rsidP="004D49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Направления, формы и виды организации внеурочной деятельности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Направления и виды внеурочной деятельности определяются в соответствии с основной образовательной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программой  начального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и основного  общего образования МБОУ СОШ №10 г. Сальска.</w:t>
      </w:r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Охват всех направлений и видов не является обязательным.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Внеурочная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деятельность  в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школе  организуется на добровольной основе и в соответствии с выбором участников образовательных отношений по следующим направлениям: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Спортивно-оздоровительное;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Духовно-нравственное;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Общекультурное;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Социальное. 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3.2. Виды внеурочной деятельности: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Игровая;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Познавательная;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Проблемно-ценностное общение;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Досугово-развлекательная деятельность (досуговое общение);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Художественное творчество; </w:t>
      </w:r>
    </w:p>
    <w:p w:rsidR="004D49C9" w:rsidRPr="000268D2" w:rsidRDefault="004D49C9" w:rsidP="004D49C9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Спортивно-оздоровительная деятельность; 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Формы организации внеурочной деятельности: экскурсии, факультативы, кружки, секции, круглые столы, конференции, диспуты, соревнования, проекты, интеллектуальные клубы, библиотечные часы, конкурсы, викторины, познавательные игры и др. </w:t>
      </w:r>
    </w:p>
    <w:p w:rsidR="004D49C9" w:rsidRPr="000268D2" w:rsidRDefault="004D49C9" w:rsidP="004D49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Порядок организации внеурочной деятельности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Количество часов всех занятий (по всем направлениям) внеурочной деятельности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в  первом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должно составлять</w:t>
      </w: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до 330 часов </w:t>
      </w: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учебный год, со второго класса  по восьмые классы - </w:t>
      </w:r>
      <w:r w:rsidRPr="000268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 340 часов за учебный год.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Рабочие  программы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внеурочной деятельности разрабатываются педагогами в соответствии с Положением, рассматриваются Педагогическим советом и утверждаются директором школы. П</w:t>
      </w:r>
      <w:r w:rsidRPr="000268D2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могут быть авторскими и модифицированными.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проведения занятий по внеурочной деятельности допускается комплектование групп как из обучающихся одного класса, так и из учеников параллели классов.  Минимальная наполняемость 10 человек.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Максимальная  наполняемость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соответствует  общему количеству обучающихся класса.  При наличии необходимых ресурсов возможно деление одного класса на две группы.  Комплектование групп проходит в соответствии с запросом участников образовательного процесса (законных представителей) учащегося. </w:t>
      </w:r>
    </w:p>
    <w:p w:rsidR="004D49C9" w:rsidRPr="000268D2" w:rsidRDefault="004D49C9" w:rsidP="004D49C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обучающихся, утверждается директором школы. </w:t>
      </w:r>
    </w:p>
    <w:p w:rsidR="004D49C9" w:rsidRPr="00AD18DA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18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Длительность внеурочных занятий соответствует длительности урочных форм обучения и регламентируется действующими Санитарно-эпидемиологическими правилами и нормами Сан </w:t>
      </w:r>
      <w:proofErr w:type="spellStart"/>
      <w:r w:rsidRPr="00AD18DA">
        <w:rPr>
          <w:rFonts w:ascii="Times New Roman" w:eastAsia="Calibri" w:hAnsi="Times New Roman" w:cs="Times New Roman"/>
          <w:sz w:val="24"/>
          <w:szCs w:val="24"/>
          <w:lang w:eastAsia="ar-SA"/>
        </w:rPr>
        <w:t>ПиН</w:t>
      </w:r>
      <w:proofErr w:type="spellEnd"/>
      <w:r w:rsidRPr="00AD18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2.4.3648-20 «Санитарно-эпидемиологические требования к условиям и организации обучения в общеобразовательных учреждениях». Для обучающихся первого класса продолжительность </w:t>
      </w:r>
      <w:proofErr w:type="gramStart"/>
      <w:r w:rsidRPr="00AD18DA">
        <w:rPr>
          <w:rFonts w:ascii="Times New Roman" w:eastAsia="Calibri" w:hAnsi="Times New Roman" w:cs="Times New Roman"/>
          <w:sz w:val="24"/>
          <w:szCs w:val="24"/>
          <w:lang w:eastAsia="ar-SA"/>
        </w:rPr>
        <w:t>занятия  в</w:t>
      </w:r>
      <w:proofErr w:type="gramEnd"/>
      <w:r w:rsidRPr="00AD18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первом полугодии не должна превышать 35 минут.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обучающегося во внеурочное время.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Обучающимся предоставляется возможность посещать занятия в музыкальных и художественных школах, спортивных секциях, кружках в учреждениях дополнительного образования детей.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Учёт занятий внеурочной деятельности осуществляется педагогическими работниками, ведущими занятия. Проведение занятий (темы занятий) и учет посещения их учащимися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фиксируются  в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отдельном журнале. Журнал заводится на один класс или на параллель классов. Порядок ведения, хранения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журнала  внеурочной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занятости аналогичен правилам ведения классных журналов.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К педагогическим и иным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Управление внеурочной деятельностью.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Общее руководство внеурочной деятельностью с обучающимися в школе осуществляют заместители директора на основе своих должностных обязанностей.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Организация внеурочной деятельности с обучающимися занимается классный руководитель на основании «Положения о классном руководстве» и своих должностных обязанностей. 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организации внеурочной деятельности могут привлекаться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педагоги  из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учреждений дополнительного образования и др. специалисты.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Учёт внеурочных достижений обучающихся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Основной формой учёта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внеурочных достижений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является портфолио. 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Основными задачами составления портфолио являются:</w:t>
      </w:r>
    </w:p>
    <w:p w:rsidR="004D49C9" w:rsidRPr="000268D2" w:rsidRDefault="004D49C9" w:rsidP="004D49C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4D49C9" w:rsidRPr="000268D2" w:rsidRDefault="004D49C9" w:rsidP="004D49C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индивидуализации оценки деятельности каждого обучающегося.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 оплаты внеурочной деятельности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Урочная и внеурочная деятельность являются равными составляющими основной образовательной программы и приводят к достижению определённых результатов. 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Оплата часов внеурочной деятельности производится в соответствии с тарификацией из средств фонда оплаты труда.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Финансирование  внеурочной</w:t>
      </w:r>
      <w:proofErr w:type="gramEnd"/>
      <w:r w:rsidRPr="00026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деятельности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Финансирование часов, отводимых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>на  внеурочную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>   деятельность, организуемую в Гимназии, осуществляется в пределах средств субвенции бюджету муниципалитета 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 привлечение добровольных родительских пожертвований на развитие материально-технической базы объединений внеурочной деятельности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>и  проведение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экскурсионно-досуговых  мероприятий.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Ответственность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школы</w:t>
      </w:r>
    </w:p>
    <w:p w:rsidR="004D49C9" w:rsidRPr="000268D2" w:rsidRDefault="004D49C9" w:rsidP="004D49C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Организует процесс разработки, рецензирования и утверждения программы внеурочной деятельности, контроль выполнения программ внеурочной деятельности, контроль ведения журналов внеурочной деятельности</w:t>
      </w: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9.2  Классные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руководители </w:t>
      </w:r>
    </w:p>
    <w:p w:rsidR="004D49C9" w:rsidRPr="000268D2" w:rsidRDefault="004D49C9" w:rsidP="004D49C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В своей работе руководствуются Положением о классном руководителе, должностной инструкцией классного руководителя. Осуществляют контроль посещаемости </w:t>
      </w:r>
      <w:proofErr w:type="gramStart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  занятий</w:t>
      </w:r>
      <w:proofErr w:type="gramEnd"/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внеурочной деятельности.</w:t>
      </w:r>
    </w:p>
    <w:p w:rsidR="004D49C9" w:rsidRPr="000268D2" w:rsidRDefault="004D49C9" w:rsidP="004D49C9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9.3 Преподаватели внеурочной деятельности</w:t>
      </w:r>
    </w:p>
    <w:p w:rsidR="004D49C9" w:rsidRPr="000268D2" w:rsidRDefault="004D49C9" w:rsidP="004D49C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Деятельность преподавателей регламентируется Уставом школы, Правилами внутреннего распорядка, локальными актами, должностными инструкциями</w:t>
      </w:r>
    </w:p>
    <w:p w:rsidR="004D49C9" w:rsidRPr="000268D2" w:rsidRDefault="004D49C9" w:rsidP="004D49C9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>9.4. Родители (законные представители) обучающихся.</w:t>
      </w:r>
    </w:p>
    <w:p w:rsidR="004D49C9" w:rsidRPr="000268D2" w:rsidRDefault="004D49C9" w:rsidP="004D49C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6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Несут ответственность за посещение обучающимися занятий внеурочной деятельности</w:t>
      </w:r>
    </w:p>
    <w:p w:rsidR="004D49C9" w:rsidRPr="000268D2" w:rsidRDefault="004D49C9" w:rsidP="004D49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26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Заключительные положения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268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вступает в силу с момента его подписания.</w:t>
      </w:r>
    </w:p>
    <w:p w:rsidR="004D49C9" w:rsidRPr="000268D2" w:rsidRDefault="004D49C9" w:rsidP="004D49C9">
      <w:pPr>
        <w:numPr>
          <w:ilvl w:val="1"/>
          <w:numId w:val="3"/>
        </w:numPr>
        <w:suppressAutoHyphens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268D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и дополнения в данное положение могут быть внесены решением Педагогического совета школы.</w:t>
      </w: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Pr="000268D2" w:rsidRDefault="004D49C9" w:rsidP="004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C9" w:rsidRDefault="004D49C9" w:rsidP="004D49C9">
      <w:pPr>
        <w:pStyle w:val="a3"/>
        <w:ind w:left="-851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4D49C9" w:rsidRDefault="004D49C9" w:rsidP="004D49C9">
      <w:pPr>
        <w:pStyle w:val="a3"/>
        <w:tabs>
          <w:tab w:val="left" w:pos="284"/>
        </w:tabs>
        <w:ind w:left="-284" w:hanging="425"/>
        <w:jc w:val="center"/>
        <w:rPr>
          <w:b/>
          <w:sz w:val="24"/>
          <w:szCs w:val="24"/>
        </w:rPr>
      </w:pPr>
    </w:p>
    <w:p w:rsidR="00DA65F9" w:rsidRDefault="00DA65F9"/>
    <w:sectPr w:rsidR="00DA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4D37"/>
    <w:multiLevelType w:val="multilevel"/>
    <w:tmpl w:val="DD06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DDB5A78"/>
    <w:multiLevelType w:val="hybridMultilevel"/>
    <w:tmpl w:val="EAAC87AE"/>
    <w:lvl w:ilvl="0" w:tplc="3CD4F2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B15709"/>
    <w:multiLevelType w:val="multilevel"/>
    <w:tmpl w:val="DD06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C9"/>
    <w:rsid w:val="004D49C9"/>
    <w:rsid w:val="00D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16DC-2704-433E-8205-45C5340B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C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D49C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4D49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2022-02-04T08:00:00Z</dcterms:created>
  <dcterms:modified xsi:type="dcterms:W3CDTF">2022-02-04T08:01:00Z</dcterms:modified>
</cp:coreProperties>
</file>