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7F" w:rsidRDefault="0009717F" w:rsidP="00855304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57230905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BAB3930" wp14:editId="62BDC0E0">
            <wp:extent cx="8401050" cy="5254168"/>
            <wp:effectExtent l="0" t="0" r="0" b="3810"/>
            <wp:docPr id="1" name="Рисунок 1" descr="C:\Users\Владелец\Pictures\2025-09-09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174" cy="525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17F" w:rsidRDefault="0009717F" w:rsidP="00855304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717F" w:rsidRDefault="0009717F" w:rsidP="00855304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717F" w:rsidRDefault="0009717F" w:rsidP="00855304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717F" w:rsidRDefault="0009717F" w:rsidP="0009717F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717F" w:rsidRDefault="0009717F" w:rsidP="0009717F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9717F" w:rsidRDefault="0009717F" w:rsidP="0009717F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64E3A" w:rsidRPr="0009717F" w:rsidRDefault="0009717F" w:rsidP="0009717F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="00364E3A"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364E3A" w:rsidRPr="00855304" w:rsidRDefault="00364E3A" w:rsidP="0085530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64E3A" w:rsidRPr="00855304" w:rsidRDefault="00364E3A" w:rsidP="0085530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64E3A" w:rsidRPr="00855304" w:rsidRDefault="00364E3A" w:rsidP="0085530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5530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</w:p>
    <w:p w:rsidR="00364E3A" w:rsidRPr="00855304" w:rsidRDefault="00364E3A" w:rsidP="0085530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64E3A" w:rsidRPr="00855304" w:rsidRDefault="00364E3A" w:rsidP="0085530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364E3A" w:rsidRPr="00855304" w:rsidRDefault="00364E3A" w:rsidP="0085530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-достижение необходимого для продолжения образования уровня общего речевого развития;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64E3A" w:rsidRPr="0009717F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971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решения учебных задач.</w:t>
      </w:r>
    </w:p>
    <w:p w:rsidR="00364E3A" w:rsidRPr="00855304" w:rsidRDefault="00364E3A" w:rsidP="0085530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64E3A" w:rsidRPr="00855304" w:rsidRDefault="00364E3A" w:rsidP="0085530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364E3A" w:rsidRPr="00855304" w:rsidRDefault="0009717F" w:rsidP="0009717F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  <w:sectPr w:rsidR="00364E3A" w:rsidRPr="00855304" w:rsidSect="0009717F">
          <w:pgSz w:w="16383" w:h="11906" w:orient="landscape"/>
          <w:pgMar w:top="1701" w:right="1134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364E3A" w:rsidRPr="008553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литературное чтение в 1 классе отводится </w:t>
      </w:r>
      <w:bookmarkStart w:id="1" w:name="ab8aaf79-a9ef-490a-a0b2-70ac1b5c97af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132 часа</w:t>
      </w:r>
      <w:bookmarkEnd w:id="1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(из них </w:t>
      </w:r>
      <w:bookmarkStart w:id="2" w:name="8184041c-500f-4898-8c17-3f7c192d7a9a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80 часов</w:t>
      </w:r>
      <w:bookmarkEnd w:id="2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 вводный интегрированный учебный курс «Обуче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грамоте») (4 часа в неделю). </w:t>
      </w:r>
      <w:r w:rsidR="00855304" w:rsidRPr="00855304">
        <w:rPr>
          <w:rFonts w:ascii="Times New Roman" w:hAnsi="Times New Roman" w:cs="Times New Roman"/>
          <w:sz w:val="24"/>
          <w:szCs w:val="24"/>
          <w:lang w:val="ru-RU"/>
        </w:rPr>
        <w:t xml:space="preserve">По учебному плану МБОУ СОШ №1 </w:t>
      </w:r>
      <w:proofErr w:type="spellStart"/>
      <w:r w:rsidR="00855304" w:rsidRPr="00855304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gramStart"/>
      <w:r w:rsidR="00855304" w:rsidRPr="00855304"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 w:rsidR="00855304" w:rsidRPr="00855304">
        <w:rPr>
          <w:rFonts w:ascii="Times New Roman" w:hAnsi="Times New Roman" w:cs="Times New Roman"/>
          <w:sz w:val="24"/>
          <w:szCs w:val="24"/>
          <w:lang w:val="ru-RU"/>
        </w:rPr>
        <w:t>аяк</w:t>
      </w:r>
      <w:proofErr w:type="spellEnd"/>
      <w:r w:rsidR="00855304" w:rsidRPr="00855304">
        <w:rPr>
          <w:rFonts w:ascii="Times New Roman" w:hAnsi="Times New Roman" w:cs="Times New Roman"/>
          <w:sz w:val="24"/>
          <w:szCs w:val="24"/>
          <w:lang w:val="ru-RU"/>
        </w:rPr>
        <w:t xml:space="preserve"> отведено 132часа ( 4 раза в неделю).</w:t>
      </w:r>
    </w:p>
    <w:bookmarkEnd w:id="0"/>
    <w:p w:rsidR="0009717F" w:rsidRDefault="0009717F" w:rsidP="00855304">
      <w:pPr>
        <w:spacing w:after="0" w:line="264" w:lineRule="auto"/>
        <w:ind w:left="120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09717F" w:rsidRDefault="0009717F" w:rsidP="00855304">
      <w:pPr>
        <w:spacing w:after="0" w:line="264" w:lineRule="auto"/>
        <w:ind w:left="120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364E3A" w:rsidRPr="00855304" w:rsidRDefault="00364E3A" w:rsidP="0085530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ПЛАНИРУЕМЫЕ </w:t>
      </w: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85530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2994"/>
        <w:gridCol w:w="11446"/>
      </w:tblGrid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ЛИЧНОСТНЫЕ РЕЗУЛЬТАТЫ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Гражданско-патриотическое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Духовно-нравственное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-неприятие любых форм поведения, направленных на причинение физического и морального вреда другим людям 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Эстетическое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-понимание образного языка художественных произведений, выразительных средств, создающих художественный образ.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64E3A" w:rsidRPr="00855304" w:rsidRDefault="00364E3A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Ценности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научного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познания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 смысловым чтением для решения различного уровня учебных и жизненных задач;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      </w:r>
          </w:p>
          <w:p w:rsidR="00364E3A" w:rsidRPr="00855304" w:rsidRDefault="00364E3A" w:rsidP="00855304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МЕТАПРЕДМЕТНЫЕ РЕЗУЛЬТАТЫ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базовые логические действия: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-объединять произведения по жанру, авторской принадлежности;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-определять существенный признак для классификации, классифицировать произведения по темам, жанрам и видам;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-выявлять недостаток информации для решения учебной (практической) задачи на основе предложенного алгоритма;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базовые</w:t>
            </w:r>
            <w:proofErr w:type="spellEnd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исследовательские</w:t>
            </w:r>
            <w:proofErr w:type="spellEnd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действия</w:t>
            </w:r>
            <w:proofErr w:type="spellEnd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разрыв между реальным и желательным состоянием объекта (ситуации) на основе предложенных учителем вопросов;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с помощью учителя цель, планировать изменения объекта, ситуации;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-сравнивать несколько вариантов решения задачи, выбирать наиболее подходящий (на основе предложенных критериев);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-прогнозировать возможное развитие процессов, событий и их последствия в аналогичных или сходных ситуациях;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</w:t>
            </w:r>
            <w:proofErr w:type="spellEnd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446" w:type="dxa"/>
          </w:tcPr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-выбирать источник получения информации;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-согласно заданному алгоритму находить в предложенном источнике информацию, представленную в явном виде;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достоверную и недостоверную информацию самостоятельно или на основании предложенного учителем способа её проверки;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и создавать текстовую, видео, графическую, звуковую информацию в соответствии с учебной задачей;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-самостоятельно создавать схемы, таблицы для представления информации.</w:t>
            </w:r>
          </w:p>
          <w:p w:rsidR="00364E3A" w:rsidRPr="00855304" w:rsidRDefault="00364E3A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4E3A" w:rsidRPr="0009717F" w:rsidTr="00364E3A">
        <w:tc>
          <w:tcPr>
            <w:tcW w:w="2994" w:type="dxa"/>
          </w:tcPr>
          <w:p w:rsidR="00364E3A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Коммуникативные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УУд</w:t>
            </w:r>
            <w:proofErr w:type="spellEnd"/>
          </w:p>
        </w:tc>
        <w:tc>
          <w:tcPr>
            <w:tcW w:w="11446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-проявлять уважительное отношение к собеседнику, соблюдать правила ведения диалога и дискуссии;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-признавать возможность существования разных точек зрения;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-корректно и аргументированно высказывать своё мнение;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-строить речевое высказывание в соответствии с поставленной задачей;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-создавать устные и письменные тексты (описание, рассуждение, повествование);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-готовить небольшие публичные выступления;</w:t>
            </w:r>
          </w:p>
          <w:p w:rsidR="00364E3A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-подбирать иллюстративный материал (рисунки, фото, плакаты) к тексту выступления.</w:t>
            </w:r>
          </w:p>
        </w:tc>
      </w:tr>
      <w:tr w:rsidR="00997093" w:rsidRPr="0009717F" w:rsidTr="00364E3A">
        <w:tc>
          <w:tcPr>
            <w:tcW w:w="2994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Регулятивные УУД</w:t>
            </w:r>
          </w:p>
        </w:tc>
        <w:tc>
          <w:tcPr>
            <w:tcW w:w="11446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самоорганизация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планировать действия по решению учебной задачи для получения результата;</w: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выстраивать последовательность выбранных действий;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самоконтроль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причины успеха/неудач учебной деятельности;</w: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корректировать свои учебные действия для преодоления ошибок.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364E3A">
        <w:tc>
          <w:tcPr>
            <w:tcW w:w="2994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46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-проявлять готовность руководить, выполнять поручения, подчиняться;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-ответственно выполнять свою часть работы;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-оценивать свой вклад в общий результат;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-выполнять совместные проектные задания с опорой на предложенные образцы.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  <w:r w:rsidR="00997093" w:rsidRPr="008553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прозаическую (</w:t>
      </w:r>
      <w:proofErr w:type="spellStart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нестихотворную</w:t>
      </w:r>
      <w:proofErr w:type="spellEnd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стихотворную речь;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сказки (фольклорные и литературные), рассказы, стихотворения);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небольшие тексты по предложенному началу и др. (не менее 3 предложений);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иллюстрациям;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364E3A" w:rsidRPr="00855304" w:rsidRDefault="00997093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64E3A"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364E3A" w:rsidRDefault="00364E3A" w:rsidP="00855304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09717F" w:rsidRPr="00855304" w:rsidRDefault="0009717F" w:rsidP="0085530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3"/>
        <w:gridCol w:w="11913"/>
      </w:tblGrid>
      <w:tr w:rsidR="00997093" w:rsidRPr="00855304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Обучение грамоте</w:t>
            </w:r>
            <w:bookmarkStart w:id="4" w:name="_ftnref1"/>
            <w:r w:rsidRPr="008553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\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</w:rPr>
              <w:instrText>l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"_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</w:rPr>
              <w:instrText>ftn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1" \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</w:rPr>
              <w:instrText>h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8553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5530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ru-RU"/>
              </w:rPr>
              <w:t>#_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ftn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85530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fldChar w:fldCharType="end"/>
            </w:r>
            <w:bookmarkEnd w:id="4"/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      </w:r>
          </w:p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Фонетика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Чтение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      </w: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Орфоэпическое чтение (при переходе к чтению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целыми словами). Орфографическое чтение (проговаривание) как средство самоконтроля при письме под диктовку и при списывании.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СИСТЕМАТИЧЕСКИЙ КУРС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Сказка фольклорная (народная) и литературная (авторская).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      </w:r>
          </w:p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В.Г.Сутеева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«Кораблик», «Под грибом» </w:t>
            </w:r>
            <w:bookmarkStart w:id="5" w:name="192040c8-9be0-4bcc-9f47-45c543c4cd5f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другие (по выбору).</w:t>
            </w:r>
            <w:bookmarkEnd w:id="5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Произведения о детях и для детей.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      </w:r>
          </w:p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для чтения: К.Д. Ушинский «Худо тому, кто добра не делает никому», Л.Н. Толстой «Косточка», Е.А. Пермяк «Торопливый ножик»,</w:t>
            </w:r>
          </w:p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В.А. Осеева «Три товарища», А.Л.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«Я – лишний», Ю.И. Ермолаев «Лучший друг» </w:t>
            </w:r>
            <w:bookmarkStart w:id="6" w:name="fea8cf03-c8e1-4ed3-94a3-40e6561a8359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другие (по выбору).</w:t>
            </w:r>
            <w:bookmarkEnd w:id="6"/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Произведения о родной природе.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      </w:r>
          </w:p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Устное народное творчество – малые фольклорные жанры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(не менее шести произведений). Многообразие малых жанров устного народного творчества: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загадка, пословица, их назначение (веселить, потешать, играть, поучать). Особенности разных малых фольклорных жанров.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Потешка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для чтения: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загадки, пословицы.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для чтения: В.В. Бианки «Лис и Мышонок», Е.И.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Чарушин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Томку», М.М. Пришвин «Ёж», Н.И. Сладков «Лисица и Ёж» </w:t>
            </w:r>
            <w:bookmarkStart w:id="7" w:name="fce98a40-ae0b-4d2c-875d-505cf2d5a21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другие.</w:t>
            </w:r>
            <w:bookmarkEnd w:id="7"/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Произведения о маме.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Митяева </w:t>
            </w:r>
            <w:bookmarkStart w:id="8" w:name="a3da6f91-f80f-4d4a-8e62-998ba5c8e117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др.</w:t>
            </w:r>
            <w:bookmarkEnd w:id="8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для чтения: Е.А. Благинина «Посидим в тишине», А.Л.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«Мама», А.В. Митяев «За что я люблю маму» </w:t>
            </w:r>
            <w:bookmarkStart w:id="9" w:name="e4e52ce4-82f6-450f-a8ef-39f9bea95300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другие (по выбору).</w:t>
            </w:r>
            <w:bookmarkEnd w:id="9"/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Фольклорные и авторские произведения о чудесах и фантазии (не менее трёх произведений).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для чтения: Р.С.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Сеф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«Чудо», В.В. Лунин «Я видел чудо», Б.В.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Заходер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«Моя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Вообразилия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Ю.П.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«Сто фантазий» </w:t>
            </w:r>
            <w:r w:rsidRPr="00855304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 другие (по выбору</w:t>
            </w: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Библиографическая </w:t>
            </w: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культура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(работа с детской книгой).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Представление о том, что книга – источник необходимых знаний. Обложка, оглавление, иллюстрации –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элементы ориентировки в книге. Умение использовать тематический каталог при выборе книг в библиотеке.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Познавательных универсальных учебных действий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Базовые логические действия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часть способствуют формированию умений: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-понимать фактическое содержание прочитанного или прослушанного текста;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-различать и группировать произведения по жанрам (загадки, пословицы, сказки (фольклорная и литературная), стихотворение, рассказ);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-сравнивать произведения по теме, настроению, которое оно вызывает.</w:t>
            </w:r>
          </w:p>
          <w:p w:rsidR="00997093" w:rsidRPr="00855304" w:rsidRDefault="00997093" w:rsidP="00855304">
            <w:pPr>
              <w:spacing w:after="0" w:line="264" w:lineRule="auto"/>
              <w:ind w:firstLine="6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Работа с информацией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часть познавательных универсальных учебных действий способствует формированию умений: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-понимать, что текст произведения может быть представлен в иллюстрациях, различных видах зрительного искусства (фильм, спектакль и другие);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-соотносить иллюстрацию с текстом произведения, читать отрывки из текста, которые соответствуют иллюстрации.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Коммуникативные универсальные учебные действия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-способствуют формированию умений: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-читать наизусть стихотворения, соблюдать орфоэпические и пунктуационные нормы;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-пересказывать (устно) содержание произведения с опорой на вопросы, рисунки, предложенный план;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-объяснять своими словами значение изученных понятий;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-описывать своё настроение после слушания (чтения) стихотворений, сказок, рассказов.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Регулятивные универсальные учебные действия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-понимать и удерживать поставленную учебную задачу, в случае необходимости обращаться за помощью к учителю;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-проявлять желание самостоятельно читать, совершенствовать свой навык чтения; 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 помощью учителя оценивать свои успехи (трудности) в освоении читательской деятельности.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7093" w:rsidRPr="0009717F" w:rsidTr="00997093">
        <w:tc>
          <w:tcPr>
            <w:tcW w:w="2263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Совместная деятельность</w:t>
            </w:r>
          </w:p>
        </w:tc>
        <w:tc>
          <w:tcPr>
            <w:tcW w:w="12297" w:type="dxa"/>
          </w:tcPr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желание работать в парах, небольших группах;</w:t>
            </w:r>
          </w:p>
          <w:p w:rsidR="00997093" w:rsidRPr="00855304" w:rsidRDefault="00997093" w:rsidP="00855304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культуру взаимодействия, терпение, умение договариваться, ответственно выполнять свою часть работы</w:t>
            </w:r>
          </w:p>
        </w:tc>
      </w:tr>
    </w:tbl>
    <w:p w:rsidR="00364E3A" w:rsidRPr="00855304" w:rsidRDefault="00364E3A" w:rsidP="00855304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55304" w:rsidRPr="00855304" w:rsidRDefault="00855304" w:rsidP="0085530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53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proofErr w:type="gramStart"/>
      <w:r w:rsidRPr="008553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  <w:r w:rsidRPr="008553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530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8553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3216"/>
      </w:tblGrid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304" w:rsidRPr="00855304" w:rsidRDefault="00855304" w:rsidP="0085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304" w:rsidRPr="00855304" w:rsidRDefault="00855304" w:rsidP="0085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304" w:rsidRPr="00855304" w:rsidRDefault="00855304" w:rsidP="0085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09717F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855304" w:rsidRPr="00855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http://www.rusedu.ru/</w:t>
              </w:r>
            </w:hyperlink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09717F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855304" w:rsidRPr="00855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http://bomoonlight.ru/azbuka/</w:t>
              </w:r>
            </w:hyperlink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09717F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855304" w:rsidRPr="00855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http://bomoonlight.ru/azbuka/</w:t>
              </w:r>
            </w:hyperlink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09717F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855304" w:rsidRPr="00855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http://blank/</w:t>
              </w:r>
            </w:hyperlink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4" w:rsidRPr="00855304" w:rsidTr="009E0F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85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E3A" w:rsidRPr="00855304" w:rsidRDefault="00997093" w:rsidP="00855304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55304" w:rsidRPr="00855304" w:rsidRDefault="00855304" w:rsidP="00855304">
      <w:pPr>
        <w:spacing w:after="0"/>
        <w:ind w:left="120"/>
        <w:rPr>
          <w:sz w:val="24"/>
          <w:szCs w:val="24"/>
          <w:lang w:val="ru-RU"/>
        </w:rPr>
      </w:pPr>
      <w:r w:rsidRPr="008553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ПЛАНИРОВАНИЕ,</w:t>
      </w:r>
      <w:r w:rsidRPr="0085530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УЧЕБНИКИ «АЗБУКА» (АВТОРЫ В.Г.ГОРЕЦКИЙ И ДР.), «ЛИТЕРАТУРНОЕ ЧТЕНИЕ. 1 КЛАСС (АВТОРЫ КЛИМАНОВА Л. Ф., ГОРЕЦКИЙ В. Г., ГОЛОВАНОВА М. В. И ДР.) </w:t>
      </w:r>
    </w:p>
    <w:p w:rsidR="00855304" w:rsidRPr="00855304" w:rsidRDefault="00855304" w:rsidP="00855304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431"/>
        <w:gridCol w:w="946"/>
        <w:gridCol w:w="1841"/>
        <w:gridCol w:w="1910"/>
        <w:gridCol w:w="1838"/>
        <w:gridCol w:w="2977"/>
      </w:tblGrid>
      <w:tr w:rsidR="00855304" w:rsidRPr="00855304" w:rsidTr="00855304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9E0F20">
            <w:pPr>
              <w:spacing w:after="0"/>
              <w:rPr>
                <w:lang w:val="ru-RU"/>
              </w:rPr>
            </w:pPr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304" w:rsidRPr="00855304" w:rsidRDefault="00855304" w:rsidP="009E0F20">
            <w:pPr>
              <w:rPr>
                <w:lang w:val="ru-RU"/>
              </w:rPr>
            </w:pPr>
          </w:p>
        </w:tc>
        <w:tc>
          <w:tcPr>
            <w:tcW w:w="4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304" w:rsidRPr="00855304" w:rsidRDefault="00855304" w:rsidP="009E0F20">
            <w:pPr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</w:t>
            </w:r>
            <w:proofErr w:type="spellStart"/>
            <w:r w:rsidRPr="008553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5304" w:rsidRDefault="00855304" w:rsidP="009E0F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5304" w:rsidRDefault="00855304" w:rsidP="009E0F20">
            <w:pPr>
              <w:spacing w:after="0"/>
              <w:ind w:left="135"/>
            </w:pPr>
          </w:p>
        </w:tc>
        <w:tc>
          <w:tcPr>
            <w:tcW w:w="18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304" w:rsidRDefault="00855304" w:rsidP="009E0F20"/>
        </w:tc>
        <w:tc>
          <w:tcPr>
            <w:tcW w:w="2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304" w:rsidRDefault="00855304" w:rsidP="009E0F20"/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1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http://www.rusedu.ru/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2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http://samouchka.com.ua/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3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http://bomoonlight.ru/azbuka/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«Мой дом»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4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http://www.viki.rdf.ru/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5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http://nsportal.ru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6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http://blank/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</w:t>
            </w:r>
            <w:proofErr w:type="gram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 ы, её функция в слоге-слиянии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«Русский лес»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«Лесные хоромы»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7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http://www.musik.edu.ru/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Е, 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8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http://samouchka.com.ua/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19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http://1-4.prosv.ru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–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–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я. Звуки</w:t>
            </w:r>
            <w:proofErr w:type="gram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Двойная роль букв Я, 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«Дядя Миша».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–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ч. Звук</w:t>
            </w:r>
            <w:proofErr w:type="gram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А.Л.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 школу»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20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http://1-4.prosv.ru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Ж, ж. Сочетания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ши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«История с азбукой»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http://suhin.narod.ru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х. Проведение звукового анализа слов с буквами Х, 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</w:t>
            </w:r>
            <w:r w:rsidRPr="008553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Ю,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«Ехали два мужика...»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Ц, ц. Проведение звукового </w:t>
            </w: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Ц, ц. Согласный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«Зайчик»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22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http://www.art.september.ru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произведений В.Д.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Е.И.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мальчик Женя научился говорить букву «р»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Щ, щ. Сочетания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ща, чу –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«Телефон»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А.Л.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«Помощница», «Зайка», «Игра в слова»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 Маршак «Ты эти буквы заучи»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«Беспокойные соседки», «Познакомились»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http://suhin.narod.ru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«Лисичка-</w:t>
            </w: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сестричка и волк»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И.П.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«Под грибом», «Кораблик»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</w:t>
            </w: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событий). На примере сказки Е.И.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24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http://bomoonlight.ru/azbuka/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– средство воспитания живости ума, сообразительности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находить необычное в окружающем мире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Б.В.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«Моя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Ю.П.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фантазий» и других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явлениях. На примере стихотворений В.В. Лунина «Я видела чудо», Р.С.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авторских и фольклорных </w:t>
            </w: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о чудесах и фантазии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25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http://kopilurokov.ru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К.Д. </w:t>
            </w: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Ушинского «Худо тому, кто добра не делает никому» и другие: сказка М.С.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Е.А. Благининой «Подарок», В.Н. Орлова «Кто кого?»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Р.С.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«Совет», В.Н. Орлова «Если дружбой...»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С.Я. Маршака «Хороший день» и других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Благининой «Посидим в тишине» и других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26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http://kopilurokov.ru/</w:t>
              </w:r>
            </w:hyperlink>
            <w:r w:rsidR="00855304"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С.Я. Маршака «Хороший день»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произведения, его внешности, действий. На примере произведений В.В. Бианки «Лис и </w:t>
            </w: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Мышонок», С.В. Михалкова «Трезор»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09717F" w:rsidP="009E0F20">
            <w:pPr>
              <w:spacing w:after="0"/>
              <w:ind w:left="135"/>
            </w:pPr>
            <w:hyperlink r:id="rId27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http://kopilurokov.ru</w:t>
              </w:r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RPr="0009717F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Томку», Н.И. Сладкова «Лисица и Ёж»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Pr="00855304" w:rsidRDefault="00855304" w:rsidP="009E0F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Pr="0009717F" w:rsidRDefault="0009717F" w:rsidP="009E0F20">
            <w:pPr>
              <w:spacing w:after="0"/>
              <w:ind w:left="135"/>
              <w:rPr>
                <w:lang w:val="ru-RU"/>
              </w:rPr>
            </w:pPr>
            <w:hyperlink r:id="rId28">
              <w:r w:rsidR="00855304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855304" w:rsidRPr="00097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55304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855304" w:rsidRPr="00097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855304">
                <w:rPr>
                  <w:rFonts w:ascii="Times New Roman" w:hAnsi="Times New Roman"/>
                  <w:color w:val="0000FF"/>
                  <w:u w:val="single"/>
                </w:rPr>
                <w:t>art</w:t>
              </w:r>
              <w:r w:rsidR="00855304" w:rsidRPr="00097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55304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proofErr w:type="spellEnd"/>
              <w:r w:rsidR="00855304" w:rsidRPr="000971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553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23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</w:pPr>
          </w:p>
        </w:tc>
      </w:tr>
      <w:tr w:rsidR="00855304" w:rsidTr="00855304">
        <w:trPr>
          <w:trHeight w:val="144"/>
          <w:tblCellSpacing w:w="20" w:type="nil"/>
        </w:trPr>
        <w:tc>
          <w:tcPr>
            <w:tcW w:w="5473" w:type="dxa"/>
            <w:gridSpan w:val="2"/>
            <w:tcMar>
              <w:top w:w="50" w:type="dxa"/>
              <w:left w:w="100" w:type="dxa"/>
            </w:tcMar>
            <w:vAlign w:val="center"/>
          </w:tcPr>
          <w:p w:rsidR="00855304" w:rsidRPr="007D2FCE" w:rsidRDefault="00855304" w:rsidP="009E0F20">
            <w:pPr>
              <w:spacing w:after="0"/>
              <w:ind w:left="135"/>
              <w:rPr>
                <w:lang w:val="ru-RU"/>
              </w:rPr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 w:rsidRPr="007D2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304" w:rsidRDefault="00855304" w:rsidP="009E0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304" w:rsidRDefault="00855304" w:rsidP="009E0F20"/>
        </w:tc>
      </w:tr>
    </w:tbl>
    <w:p w:rsidR="00997093" w:rsidRPr="00364E3A" w:rsidRDefault="00997093" w:rsidP="009970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646C" w:rsidRPr="00364E3A" w:rsidRDefault="00FA646C" w:rsidP="00364E3A">
      <w:pPr>
        <w:rPr>
          <w:lang w:val="ru-RU"/>
        </w:rPr>
      </w:pPr>
    </w:p>
    <w:sectPr w:rsidR="00FA646C" w:rsidRPr="00364E3A" w:rsidSect="00364E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5C1"/>
    <w:multiLevelType w:val="multilevel"/>
    <w:tmpl w:val="5BF89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55A5A"/>
    <w:multiLevelType w:val="multilevel"/>
    <w:tmpl w:val="128E1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B6723"/>
    <w:multiLevelType w:val="multilevel"/>
    <w:tmpl w:val="CFB87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D036C"/>
    <w:multiLevelType w:val="multilevel"/>
    <w:tmpl w:val="F7CCD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65128"/>
    <w:multiLevelType w:val="multilevel"/>
    <w:tmpl w:val="46767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0743C"/>
    <w:multiLevelType w:val="multilevel"/>
    <w:tmpl w:val="FF4EE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50604C"/>
    <w:multiLevelType w:val="multilevel"/>
    <w:tmpl w:val="1A42D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544153"/>
    <w:multiLevelType w:val="multilevel"/>
    <w:tmpl w:val="852A3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E7496E"/>
    <w:multiLevelType w:val="multilevel"/>
    <w:tmpl w:val="8DD00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6B47F1"/>
    <w:multiLevelType w:val="multilevel"/>
    <w:tmpl w:val="62C46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096814"/>
    <w:multiLevelType w:val="multilevel"/>
    <w:tmpl w:val="42424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FC7019"/>
    <w:multiLevelType w:val="multilevel"/>
    <w:tmpl w:val="63FA0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144A1B"/>
    <w:multiLevelType w:val="multilevel"/>
    <w:tmpl w:val="7A686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1A3D2A"/>
    <w:multiLevelType w:val="multilevel"/>
    <w:tmpl w:val="58623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7457E2"/>
    <w:multiLevelType w:val="multilevel"/>
    <w:tmpl w:val="6F849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383E3C"/>
    <w:multiLevelType w:val="multilevel"/>
    <w:tmpl w:val="7B444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100E2F"/>
    <w:multiLevelType w:val="multilevel"/>
    <w:tmpl w:val="C9987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425FF2"/>
    <w:multiLevelType w:val="multilevel"/>
    <w:tmpl w:val="003E9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350063"/>
    <w:multiLevelType w:val="multilevel"/>
    <w:tmpl w:val="22020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E1610A"/>
    <w:multiLevelType w:val="multilevel"/>
    <w:tmpl w:val="33B62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787585"/>
    <w:multiLevelType w:val="multilevel"/>
    <w:tmpl w:val="9E304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534268"/>
    <w:multiLevelType w:val="multilevel"/>
    <w:tmpl w:val="C9E60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DB7E89"/>
    <w:multiLevelType w:val="multilevel"/>
    <w:tmpl w:val="3E28D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C578E1"/>
    <w:multiLevelType w:val="multilevel"/>
    <w:tmpl w:val="677A2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6A4D65"/>
    <w:multiLevelType w:val="multilevel"/>
    <w:tmpl w:val="AF76B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FC1EF8"/>
    <w:multiLevelType w:val="multilevel"/>
    <w:tmpl w:val="A1142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5400A6"/>
    <w:multiLevelType w:val="multilevel"/>
    <w:tmpl w:val="F7646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BE48E4"/>
    <w:multiLevelType w:val="multilevel"/>
    <w:tmpl w:val="152A4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C54DE5"/>
    <w:multiLevelType w:val="multilevel"/>
    <w:tmpl w:val="03D69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7827B3"/>
    <w:multiLevelType w:val="multilevel"/>
    <w:tmpl w:val="67A8F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B06298"/>
    <w:multiLevelType w:val="multilevel"/>
    <w:tmpl w:val="4552B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5056D8"/>
    <w:multiLevelType w:val="multilevel"/>
    <w:tmpl w:val="DB861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073F46"/>
    <w:multiLevelType w:val="multilevel"/>
    <w:tmpl w:val="23DCF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7377FA"/>
    <w:multiLevelType w:val="multilevel"/>
    <w:tmpl w:val="E494B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42766F"/>
    <w:multiLevelType w:val="multilevel"/>
    <w:tmpl w:val="8C5E8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F372AA"/>
    <w:multiLevelType w:val="multilevel"/>
    <w:tmpl w:val="6ECC2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685612"/>
    <w:multiLevelType w:val="multilevel"/>
    <w:tmpl w:val="6EB46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0"/>
  </w:num>
  <w:num w:numId="3">
    <w:abstractNumId w:val="27"/>
  </w:num>
  <w:num w:numId="4">
    <w:abstractNumId w:val="12"/>
  </w:num>
  <w:num w:numId="5">
    <w:abstractNumId w:val="4"/>
  </w:num>
  <w:num w:numId="6">
    <w:abstractNumId w:val="14"/>
  </w:num>
  <w:num w:numId="7">
    <w:abstractNumId w:val="28"/>
  </w:num>
  <w:num w:numId="8">
    <w:abstractNumId w:val="13"/>
  </w:num>
  <w:num w:numId="9">
    <w:abstractNumId w:val="18"/>
  </w:num>
  <w:num w:numId="10">
    <w:abstractNumId w:val="11"/>
  </w:num>
  <w:num w:numId="11">
    <w:abstractNumId w:val="31"/>
  </w:num>
  <w:num w:numId="12">
    <w:abstractNumId w:val="8"/>
  </w:num>
  <w:num w:numId="13">
    <w:abstractNumId w:val="29"/>
  </w:num>
  <w:num w:numId="14">
    <w:abstractNumId w:val="3"/>
  </w:num>
  <w:num w:numId="15">
    <w:abstractNumId w:val="34"/>
  </w:num>
  <w:num w:numId="16">
    <w:abstractNumId w:val="32"/>
  </w:num>
  <w:num w:numId="17">
    <w:abstractNumId w:val="6"/>
  </w:num>
  <w:num w:numId="18">
    <w:abstractNumId w:val="16"/>
  </w:num>
  <w:num w:numId="19">
    <w:abstractNumId w:val="25"/>
  </w:num>
  <w:num w:numId="20">
    <w:abstractNumId w:val="7"/>
  </w:num>
  <w:num w:numId="21">
    <w:abstractNumId w:val="2"/>
  </w:num>
  <w:num w:numId="22">
    <w:abstractNumId w:val="33"/>
  </w:num>
  <w:num w:numId="23">
    <w:abstractNumId w:val="1"/>
  </w:num>
  <w:num w:numId="24">
    <w:abstractNumId w:val="0"/>
  </w:num>
  <w:num w:numId="25">
    <w:abstractNumId w:val="10"/>
  </w:num>
  <w:num w:numId="26">
    <w:abstractNumId w:val="19"/>
  </w:num>
  <w:num w:numId="27">
    <w:abstractNumId w:val="17"/>
  </w:num>
  <w:num w:numId="28">
    <w:abstractNumId w:val="9"/>
  </w:num>
  <w:num w:numId="29">
    <w:abstractNumId w:val="30"/>
  </w:num>
  <w:num w:numId="30">
    <w:abstractNumId w:val="26"/>
  </w:num>
  <w:num w:numId="31">
    <w:abstractNumId w:val="24"/>
  </w:num>
  <w:num w:numId="32">
    <w:abstractNumId w:val="21"/>
  </w:num>
  <w:num w:numId="33">
    <w:abstractNumId w:val="36"/>
  </w:num>
  <w:num w:numId="34">
    <w:abstractNumId w:val="15"/>
  </w:num>
  <w:num w:numId="35">
    <w:abstractNumId w:val="23"/>
  </w:num>
  <w:num w:numId="36">
    <w:abstractNumId w:val="3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3A"/>
    <w:rsid w:val="0009717F"/>
    <w:rsid w:val="00364E3A"/>
    <w:rsid w:val="00855304"/>
    <w:rsid w:val="00997093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3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553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3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53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53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53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53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5530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55304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855304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5304"/>
    <w:rPr>
      <w:lang w:val="en-US"/>
    </w:rPr>
  </w:style>
  <w:style w:type="paragraph" w:styleId="a6">
    <w:name w:val="Normal Indent"/>
    <w:basedOn w:val="a"/>
    <w:uiPriority w:val="99"/>
    <w:unhideWhenUsed/>
    <w:rsid w:val="00855304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85530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553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85530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5530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855304"/>
    <w:rPr>
      <w:i/>
      <w:iCs/>
    </w:rPr>
  </w:style>
  <w:style w:type="character" w:styleId="ac">
    <w:name w:val="Hyperlink"/>
    <w:basedOn w:val="a0"/>
    <w:uiPriority w:val="99"/>
    <w:unhideWhenUsed/>
    <w:rsid w:val="00855304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85530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8553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717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3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553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3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53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53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53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53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5530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55304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855304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5304"/>
    <w:rPr>
      <w:lang w:val="en-US"/>
    </w:rPr>
  </w:style>
  <w:style w:type="paragraph" w:styleId="a6">
    <w:name w:val="Normal Indent"/>
    <w:basedOn w:val="a"/>
    <w:uiPriority w:val="99"/>
    <w:unhideWhenUsed/>
    <w:rsid w:val="00855304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85530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553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85530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5530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855304"/>
    <w:rPr>
      <w:i/>
      <w:iCs/>
    </w:rPr>
  </w:style>
  <w:style w:type="character" w:styleId="ac">
    <w:name w:val="Hyperlink"/>
    <w:basedOn w:val="a0"/>
    <w:uiPriority w:val="99"/>
    <w:unhideWhenUsed/>
    <w:rsid w:val="00855304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85530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8553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9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717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moonlight.ru/azbuka/" TargetMode="External"/><Relationship Id="rId13" Type="http://schemas.openxmlformats.org/officeDocument/2006/relationships/hyperlink" Target="http://bomoonlight.ru/azbuka/" TargetMode="External"/><Relationship Id="rId18" Type="http://schemas.openxmlformats.org/officeDocument/2006/relationships/hyperlink" Target="http://samouchka.com.ua/" TargetMode="External"/><Relationship Id="rId26" Type="http://schemas.openxmlformats.org/officeDocument/2006/relationships/hyperlink" Target="http://kopilurok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uhin.narod.ru" TargetMode="External"/><Relationship Id="rId7" Type="http://schemas.openxmlformats.org/officeDocument/2006/relationships/hyperlink" Target="http://www.rusedu.ru/" TargetMode="External"/><Relationship Id="rId12" Type="http://schemas.openxmlformats.org/officeDocument/2006/relationships/hyperlink" Target="http://samouchka.com.ua/" TargetMode="External"/><Relationship Id="rId17" Type="http://schemas.openxmlformats.org/officeDocument/2006/relationships/hyperlink" Target="http://www.musik.edu.ru/" TargetMode="External"/><Relationship Id="rId25" Type="http://schemas.openxmlformats.org/officeDocument/2006/relationships/hyperlink" Target="http://kopilurok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lank/" TargetMode="External"/><Relationship Id="rId20" Type="http://schemas.openxmlformats.org/officeDocument/2006/relationships/hyperlink" Target="http://1-4.prosv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sedu.ru/" TargetMode="External"/><Relationship Id="rId24" Type="http://schemas.openxmlformats.org/officeDocument/2006/relationships/hyperlink" Target="http://bomoonlight.ru/azbu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" TargetMode="External"/><Relationship Id="rId23" Type="http://schemas.openxmlformats.org/officeDocument/2006/relationships/hyperlink" Target="http://suhin.narod.ru" TargetMode="External"/><Relationship Id="rId28" Type="http://schemas.openxmlformats.org/officeDocument/2006/relationships/hyperlink" Target="http://www.art.september.ru" TargetMode="External"/><Relationship Id="rId10" Type="http://schemas.openxmlformats.org/officeDocument/2006/relationships/hyperlink" Target="http://blank/" TargetMode="External"/><Relationship Id="rId19" Type="http://schemas.openxmlformats.org/officeDocument/2006/relationships/hyperlink" Target="http://1-4.pro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moonlight.ru/azbuka/" TargetMode="External"/><Relationship Id="rId14" Type="http://schemas.openxmlformats.org/officeDocument/2006/relationships/hyperlink" Target="http://www.viki.rdf.ru/" TargetMode="External"/><Relationship Id="rId22" Type="http://schemas.openxmlformats.org/officeDocument/2006/relationships/hyperlink" Target="http://www.art.september.ru" TargetMode="External"/><Relationship Id="rId27" Type="http://schemas.openxmlformats.org/officeDocument/2006/relationships/hyperlink" Target="http://kopilurokov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2025-09-08T20:18:00Z</dcterms:created>
  <dcterms:modified xsi:type="dcterms:W3CDTF">2025-09-09T07:58:00Z</dcterms:modified>
</cp:coreProperties>
</file>